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0C" w:rsidRPr="007D600C" w:rsidRDefault="007D600C" w:rsidP="007D600C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ascii="Open_Sans" w:eastAsia="Times New Roman" w:hAnsi="Open_Sans" w:cs="Tahoma"/>
          <w:b/>
          <w:bCs/>
          <w:color w:val="777777"/>
          <w:sz w:val="20"/>
          <w:szCs w:val="20"/>
          <w:rtl/>
        </w:rPr>
        <w:t>بیماریهای واگی</w:t>
      </w:r>
      <w:r>
        <w:rPr>
          <w:rFonts w:ascii="Open_Sans" w:eastAsia="Times New Roman" w:hAnsi="Open_Sans" w:cs="Tahoma" w:hint="cs"/>
          <w:b/>
          <w:bCs/>
          <w:color w:val="777777"/>
          <w:sz w:val="20"/>
          <w:szCs w:val="20"/>
          <w:rtl/>
          <w:lang w:bidi="fa-IR"/>
        </w:rPr>
        <w:t>ر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8059"/>
      </w:tblGrid>
      <w:tr w:rsidR="007D600C" w:rsidRPr="007D600C" w:rsidTr="007D60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توسعه روشهای درمانی جدید در بیماریهای واگیر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غربالگری، اپیدمیولوژی، پیشگیری و مراقبت در مقاومت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‌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های میکروبی و عفونت‌های بیمارستانی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غربالگری، اپیدمیولوژی، پیشگیری و مراقبت در بیماری‌های نوپدید و بازپدید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غربالگری، اپیدمیولوژی، پیشگیری و مراقبت در عفونت‌های مرتبط با رفتاریهای پرخطر با تاکید بر 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HIV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غربالگری، اپیدمیولوژی، پیشگیری و مراقبت در بیماری‌های دستگاه گوارش با تاکید بر هپاتیت و سیروز کبدی</w:t>
            </w:r>
          </w:p>
        </w:tc>
      </w:tr>
      <w:tr w:rsidR="007D600C" w:rsidRPr="007D600C" w:rsidTr="007D600C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روشهای تشخیصی آزمایشگاهی برای بیماری‌های واگیر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</w:rPr>
        <w:t> 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بیماریهای غیر واگیر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030"/>
      </w:tblGrid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پیشگیری، اپيــدميولوژي، درمان و بازتوانی بیماری‌های قلبی- عروقی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اپیدمیولوژی، پيشگيري، تشخيص زودهنگام، درمان و بازتواني در سرطان‌های شایع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  <w:rtl/>
              </w:rPr>
              <w:br/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(معده، کولورکتال، مری، پوست، ریه، پستان، تخمدان، مثانه، پروستات، خون و مغز)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 و اپیدمیولوژی و مراقبت در بیماری‌های شایع متابولیک و غدد ( دیابت، چاقی و کبد چرب)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پیشگیری، اپيـدميولوژي و درمان و بازتوانی سکته مغزی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پیشگیری، اپيدميولوژي و درمان و بازتوانی بیماری‌های التهابی راههای هوایی (آسم و 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COPD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)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اختلالات رشد، تکامل و تغذیه در كودكان و نوزادان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7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كاهش ناتواني و عوارض اختلالات باروري و درمان ناباروری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8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 و مراقبت از حاملگیهای پرخطر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9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غربالگري و پایش روند بيماريهاي غيرواگير با تاکید بر بیماریهای کلیوی</w:t>
            </w:r>
          </w:p>
        </w:tc>
      </w:tr>
      <w:tr w:rsidR="007D600C" w:rsidRPr="007D600C" w:rsidTr="007D600C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ناهنجاری‌های ماسکلواسکلتال با تاکید بر کمردرد و دیسکهای گردنی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</w:rPr>
        <w:t> 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تحقیقات نظام سلامت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  <w:shd w:val="clear" w:color="auto" w:fill="FFFFFF"/>
        </w:rPr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8000"/>
      </w:tblGrid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ارائه الگوهای مناسب در مدیریت نظام سلامت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اخلاق حرفه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‌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ای در نظام سلامت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اطلاعات سلامت (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health information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)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ارايــه الگوهــاي مناسـب در اقتصاد نظام سلامت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ارائه نظام های دیده بانی و پایش سیستم سلامت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آینده پژوهی و پژوهش عملیاتی در نظام سلامت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7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روشهای توسعه و ارتقاء آموزش در علوم پزشکی، مدیریت آموزشی و برنامه‌ریزی درسی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tbl>
      <w:tblPr>
        <w:tblpPr w:leftFromText="45" w:rightFromText="45" w:vertAnchor="text" w:horzAnchor="margin" w:tblpY="351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7985"/>
      </w:tblGrid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سلولهای بنیادی، مهندسی بافت و پزشکی بازساختی و زیست مواد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مطالعات سلولی- مولكولي و ايمونولوژيك در زمينــه توليد واكسن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ایمونوتراپی بیماری‌های شایع با استفاده از ژن درمانی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حذف و کنترل آلودگی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‌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های نوپدید از محیط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نانوفیبرها، نانوذرات و اسکافولدها (در طب بازساختی، مهندسی بافت و دارورسانی)</w:t>
            </w:r>
          </w:p>
        </w:tc>
      </w:tr>
      <w:tr w:rsidR="007D600C" w:rsidRPr="007D600C" w:rsidTr="007D600C"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درد و مكانيسمهاي كاهش آن</w:t>
            </w:r>
          </w:p>
        </w:tc>
      </w:tr>
    </w:tbl>
    <w:p w:rsidR="007D600C" w:rsidRPr="007D600C" w:rsidRDefault="007D600C" w:rsidP="007D600C">
      <w:pPr>
        <w:bidi/>
        <w:spacing w:after="0" w:line="240" w:lineRule="auto"/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علوم پایه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</w:p>
    <w:p w:rsidR="007D600C" w:rsidRDefault="007D600C" w:rsidP="007D600C">
      <w:pPr>
        <w:spacing w:after="0" w:line="240" w:lineRule="auto"/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lastRenderedPageBreak/>
        <w:br/>
      </w: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</w:rPr>
        <w:t> </w:t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علوم دارویی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  <w:shd w:val="clear" w:color="auto" w:fill="FFFFFF"/>
        </w:rPr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8074"/>
      </w:tblGrid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راهكارهاي بهينه‌سازي تجویز و مصرف منطقی داروها با تاکید بر آنتی بیوتیک‌ها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توسعه فناوري‌هاي نوين برای دارورساني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تولید آنتی بادی‌های منوکلونال و پروتئین‌های نوترکیب (جنبه‌های تولیدی و پروتکل درمانی) و واکسن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توسعه و بهربرداری پژوهشی از نظام ثبت عوارض و خطاهاي دارويي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پیشگیری، تشخیص و مراقبت از مسمومیتها و سوء مصرف داروها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7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مکانیسم سلولی مولکولی اثربخشی فرآورده‌های دارویی، ترکیبات بیولوژیک</w:t>
            </w:r>
          </w:p>
        </w:tc>
      </w:tr>
      <w:tr w:rsidR="007D600C" w:rsidRPr="007D600C" w:rsidTr="007D600C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8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both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بررسي كيفيت، ایمنی و کنترل فیزیک و شیمیایی و میکروبی داروها، ‌داروهای سنتی، غذا و فرآورده‌های آرایشی و بهداشتی 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فنآوری و تجهیزات پزشکی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  <w:shd w:val="clear" w:color="auto" w:fill="FFFFFF"/>
        </w:rPr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896"/>
      </w:tblGrid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فناوری‌ها و تجهیزات پزشکی بازساختی و نانوفناوری</w:t>
            </w:r>
          </w:p>
        </w:tc>
      </w:tr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فناوری‌های همگرا و فناوری‌های نوين در غربالگري، تشخيص زودرس، توانبخشی و درمان بيماريها</w:t>
            </w:r>
          </w:p>
        </w:tc>
      </w:tr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ساخت و ارتقاء كيفيـت و تجاری سازی مواد، تجهيزات پزشكي و تست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‌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‌های آزمایشگاهی</w:t>
            </w:r>
          </w:p>
        </w:tc>
      </w:tr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توسعه زیرساخت‌های فناورانه الکترونیکی کردن فرایند های بیمارستانی و سلامت</w:t>
            </w:r>
          </w:p>
        </w:tc>
      </w:tr>
      <w:tr w:rsidR="007D600C" w:rsidRPr="007D600C" w:rsidTr="007D600C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تولید و بهینه سازی ابزارهای کمکی برای توانمند‌سازی سالمندان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علوم بهداشتی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  <w:shd w:val="clear" w:color="auto" w:fill="FFFFFF"/>
        </w:rPr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7836"/>
      </w:tblGrid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ارزیابی عوامل خطر در بیماری‌های اولویت‌دار (اعتیاد، تغذیه، آلودگی هوا و محیط زیست)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توسعه مراقبت‌های بهداشتی اولیه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ارايه الگوهاي مناسب براي ارتقـاء شيوه‌هاي زندگي سالم با تاكيد بـر گروههاي آسيب پذير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ایمنی شغلی و ارگونومی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مهارتهای رفتاری، ارتباطی و آموزش و ارتقاء سلامت و مداخلات آموزشی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مخاطرات سلامت ناشی از خشک شدن دریاچه ارومیه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علوم غذا و تغذیه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  <w:shd w:val="clear" w:color="auto" w:fill="FFFFFF"/>
        </w:rPr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7836"/>
      </w:tblGrid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ارتقاء و امنيت غذايي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روشهـاي تـرويج الگوها، استانداردها و آموزش رفتارهای تغذيه‌اي مناسب و حفظ الصحه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تغذیه درمانی پزشکی در بیماری‌های مزمن و غیرواگیر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كنترل کیفیت مواد خوراکی و آشامیدنی</w:t>
            </w:r>
          </w:p>
        </w:tc>
      </w:tr>
      <w:tr w:rsidR="007D600C" w:rsidRPr="007D600C" w:rsidTr="007D600C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تدوین و توسعه خطوط راهنما برای تغذیه در بیمارستان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tbl>
      <w:tblPr>
        <w:tblpPr w:leftFromText="45" w:rightFromText="45" w:vertAnchor="text" w:horzAnchor="margin" w:tblpY="337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8029"/>
      </w:tblGrid>
      <w:tr w:rsidR="007D600C" w:rsidRPr="007D600C" w:rsidTr="007D600C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بهداشت دهان و دندان و اقدامات پیشگیری از پوسیدگی های دندانی</w:t>
            </w:r>
          </w:p>
        </w:tc>
      </w:tr>
      <w:tr w:rsidR="007D600C" w:rsidRPr="007D600C" w:rsidTr="007D600C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فناوری‌های نوين در دندانپزشکی با تاکید بر فناوری نانو، نانوذرات، بایومتریال</w:t>
            </w:r>
            <w:r w:rsidRPr="007D600C">
              <w:rPr>
                <w:rFonts w:ascii="Open_Sans" w:eastAsia="Times New Roman" w:hAnsi="Open_Sans" w:cs="Tahoma"/>
                <w:color w:val="777777"/>
                <w:sz w:val="20"/>
                <w:szCs w:val="20"/>
              </w:rPr>
              <w:t>‌</w:t>
            </w: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ها و اپلیانس‌های داخل دهانی</w:t>
            </w:r>
          </w:p>
        </w:tc>
      </w:tr>
      <w:tr w:rsidR="007D600C" w:rsidRPr="007D600C" w:rsidTr="007D600C"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مطالعات سلولی مولکولی و پزشکی بازساختی در دندانپزشکی</w:t>
            </w:r>
          </w:p>
        </w:tc>
      </w:tr>
    </w:tbl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lastRenderedPageBreak/>
        <w:t>دندانپزشکی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</w:p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  <w:r w:rsidRPr="007D600C">
        <w:rPr>
          <w:rFonts w:ascii="Open_Sans" w:eastAsia="Times New Roman" w:hAnsi="Open_Sans" w:cs="Tahoma"/>
          <w:color w:val="777777"/>
          <w:sz w:val="20"/>
          <w:szCs w:val="20"/>
          <w:shd w:val="clear" w:color="auto" w:fill="FFFFFF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سلامت روان و مولفه های اجتماعی موثر بر سلامت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044"/>
      </w:tblGrid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آموزش همگانی در راستای سلامت روان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both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مراقبت در بیماری‌های شایع روانپزشکی با تاکید بر افسردگی و اختلالات اضطرابی، اختلال بیش فعالی و اوتیسم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اپيدميولوژي، اتيولوژي و كنترل رفتارهاي پرخطر با تاكيد بر آموزش و تغيير نگرش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اتيولوژي، اپيدميولوژي و كنترل بزهكاري و اختلالات رفتاري با تاكيد بر خشونت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5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تاثیر مسایل روانی، فرهنگی و اجتماعی بر عملکرد تحصیلی</w:t>
            </w:r>
          </w:p>
        </w:tc>
      </w:tr>
      <w:tr w:rsidR="007D600C" w:rsidRPr="007D600C" w:rsidTr="007D600C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6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both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ارتقاء سلامت روان و نقش مولفه‌های قانونی و اجتماعی (درآمد، فرهنگ، سواد، آموزش، جنسیت) بر سلامتی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Tahoma" w:eastAsia="Times New Roman" w:hAnsi="Tahoma" w:cs="Tahoma"/>
          <w:color w:val="777777"/>
          <w:sz w:val="20"/>
          <w:szCs w:val="20"/>
          <w:shd w:val="clear" w:color="auto" w:fill="FFFFFF"/>
          <w:rtl/>
        </w:rPr>
        <w:t> </w:t>
      </w:r>
    </w:p>
    <w:p w:rsidR="007D600C" w:rsidRPr="007D600C" w:rsidRDefault="007D600C" w:rsidP="007D600C">
      <w:pPr>
        <w:shd w:val="clear" w:color="auto" w:fill="FFFFFF"/>
        <w:bidi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</w:rPr>
      </w:pP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rtl/>
        </w:rPr>
        <w:t>حوادث و سوانح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  <w:t> </w:t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7970"/>
      </w:tblGrid>
      <w:tr w:rsidR="007D600C" w:rsidRPr="007D600C" w:rsidTr="007D600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اپیدمیولوژی و پیشگیری از سوانح ترافیکی</w:t>
            </w:r>
          </w:p>
        </w:tc>
      </w:tr>
      <w:tr w:rsidR="007D600C" w:rsidRPr="007D600C" w:rsidTr="007D600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اپیدمیولوژی و پیشگیری از سوانح با تاکید بر سوختگی، سقوط و مسمومیت</w:t>
            </w:r>
          </w:p>
        </w:tc>
      </w:tr>
      <w:tr w:rsidR="007D600C" w:rsidRPr="007D600C" w:rsidTr="007D600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 ارزیابی بار اقتصادی حوادث و سوانح</w:t>
            </w:r>
          </w:p>
        </w:tc>
      </w:tr>
      <w:tr w:rsidR="007D600C" w:rsidRPr="007D600C" w:rsidTr="007D600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مداخلات مـوثر جهـت مقابلـه بـا حوادث غير‌مترقبه</w:t>
            </w:r>
          </w:p>
        </w:tc>
      </w:tr>
    </w:tbl>
    <w:p w:rsidR="007D600C" w:rsidRPr="007D600C" w:rsidRDefault="007D600C" w:rsidP="007D600C"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777777"/>
          <w:sz w:val="20"/>
          <w:szCs w:val="20"/>
          <w:rtl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t> </w:t>
      </w:r>
    </w:p>
    <w:p w:rsidR="007D600C" w:rsidRPr="007D600C" w:rsidRDefault="007D600C" w:rsidP="007D600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ahoma"/>
          <w:b/>
          <w:bCs/>
          <w:color w:val="777777"/>
          <w:sz w:val="20"/>
          <w:szCs w:val="20"/>
          <w:shd w:val="clear" w:color="auto" w:fill="FFFFFF"/>
          <w:rtl/>
        </w:rPr>
        <w:t>سالمندی</w:t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  <w:r w:rsidRPr="007D600C">
        <w:rPr>
          <w:rFonts w:ascii="Open_Sans" w:eastAsia="Times New Roman" w:hAnsi="Open_Sans" w:cs="Times New Roman"/>
          <w:color w:val="777777"/>
          <w:sz w:val="20"/>
          <w:szCs w:val="20"/>
        </w:rPr>
        <w:br/>
      </w:r>
    </w:p>
    <w:tbl>
      <w:tblPr>
        <w:tblpPr w:leftFromText="45" w:rightFromText="45" w:vertAnchor="text" w:tblpXSpec="right" w:tblpYSpec="center"/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8000"/>
      </w:tblGrid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رتبه اولویت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Open_Sans" w:eastAsia="Times New Roman" w:hAnsi="Open_Sans" w:cs="Tahoma"/>
                <w:b/>
                <w:bCs/>
                <w:color w:val="777777"/>
                <w:sz w:val="20"/>
                <w:szCs w:val="20"/>
                <w:rtl/>
              </w:rPr>
              <w:t>عناوين اولويت هاي پژوهشي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سبک زندگی،کیفیت زندگی و سلامت روان سالمندان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مراقبت و مدیریت در اختلالات جسمی (با تاکید بر استئوپروز) و روانی شایع در سالمندی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3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اختلالات شناختی شایع با تاکید بر پارکینسون، آلزایمر، دمانس</w:t>
            </w:r>
          </w:p>
        </w:tc>
      </w:tr>
      <w:tr w:rsidR="007D600C" w:rsidRPr="007D600C" w:rsidTr="007D600C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jc w:val="center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4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00C" w:rsidRPr="007D600C" w:rsidRDefault="007D600C" w:rsidP="007D600C">
            <w:pPr>
              <w:bidi/>
              <w:spacing w:after="0" w:line="240" w:lineRule="auto"/>
              <w:rPr>
                <w:rFonts w:ascii="Open_Sans" w:eastAsia="Times New Roman" w:hAnsi="Open_Sans" w:cs="Times New Roman"/>
                <w:color w:val="777777"/>
                <w:sz w:val="20"/>
                <w:szCs w:val="20"/>
                <w:rtl/>
              </w:rPr>
            </w:pPr>
            <w:r w:rsidRPr="007D600C">
              <w:rPr>
                <w:rFonts w:ascii="Tahoma" w:eastAsia="Times New Roman" w:hAnsi="Tahoma" w:cs="Tahoma"/>
                <w:color w:val="777777"/>
                <w:sz w:val="20"/>
                <w:szCs w:val="20"/>
                <w:rtl/>
              </w:rPr>
              <w:t>طراحی و آینده نگاری نظام ارائه خدمات سلامت مبتنی بر جمعیت سالمند</w:t>
            </w:r>
          </w:p>
        </w:tc>
      </w:tr>
    </w:tbl>
    <w:p w:rsidR="00644E63" w:rsidRDefault="00644E63" w:rsidP="007D600C">
      <w:pPr>
        <w:bidi/>
      </w:pPr>
    </w:p>
    <w:sectPr w:rsidR="00644E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E3" w:rsidRDefault="00EB1FE3" w:rsidP="007D600C">
      <w:pPr>
        <w:spacing w:after="0" w:line="240" w:lineRule="auto"/>
      </w:pPr>
      <w:r>
        <w:separator/>
      </w:r>
    </w:p>
  </w:endnote>
  <w:endnote w:type="continuationSeparator" w:id="0">
    <w:p w:rsidR="00EB1FE3" w:rsidRDefault="00EB1FE3" w:rsidP="007D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E3" w:rsidRDefault="00EB1FE3" w:rsidP="007D600C">
      <w:pPr>
        <w:spacing w:after="0" w:line="240" w:lineRule="auto"/>
      </w:pPr>
      <w:r>
        <w:separator/>
      </w:r>
    </w:p>
  </w:footnote>
  <w:footnote w:type="continuationSeparator" w:id="0">
    <w:p w:rsidR="00EB1FE3" w:rsidRDefault="00EB1FE3" w:rsidP="007D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0C" w:rsidRPr="007D600C" w:rsidRDefault="007D600C" w:rsidP="007D600C">
    <w:pPr>
      <w:pStyle w:val="Header"/>
      <w:jc w:val="center"/>
      <w:rPr>
        <w:rFonts w:cs="B Titr"/>
        <w:sz w:val="36"/>
        <w:szCs w:val="36"/>
        <w:lang w:bidi="fa-IR"/>
      </w:rPr>
    </w:pPr>
    <w:r w:rsidRPr="007D600C">
      <w:rPr>
        <w:rFonts w:cs="B Titr" w:hint="cs"/>
        <w:sz w:val="36"/>
        <w:szCs w:val="36"/>
        <w:rtl/>
        <w:lang w:bidi="fa-IR"/>
      </w:rPr>
      <w:t>اولویت های پژوهشی دانشگاه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B2"/>
    <w:rsid w:val="00644E63"/>
    <w:rsid w:val="00746507"/>
    <w:rsid w:val="007D600C"/>
    <w:rsid w:val="00BD5FFB"/>
    <w:rsid w:val="00E843B2"/>
    <w:rsid w:val="00E95FAD"/>
    <w:rsid w:val="00E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873F7-B6C9-4933-B52D-B9D8DD5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0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0C"/>
  </w:style>
  <w:style w:type="paragraph" w:styleId="Footer">
    <w:name w:val="footer"/>
    <w:basedOn w:val="Normal"/>
    <w:link w:val="FooterChar"/>
    <w:uiPriority w:val="99"/>
    <w:unhideWhenUsed/>
    <w:rsid w:val="007D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pashaei</dc:creator>
  <cp:keywords/>
  <dc:description/>
  <cp:lastModifiedBy>pashaei</cp:lastModifiedBy>
  <cp:revision>2</cp:revision>
  <cp:lastPrinted>2021-05-08T04:17:00Z</cp:lastPrinted>
  <dcterms:created xsi:type="dcterms:W3CDTF">2021-05-08T06:35:00Z</dcterms:created>
  <dcterms:modified xsi:type="dcterms:W3CDTF">2021-05-08T06:35:00Z</dcterms:modified>
</cp:coreProperties>
</file>